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outlineLvl w:val="0"/>
        <w:rPr>
          <w:rFonts w:ascii="Arial" w:hAnsi="Arial"/>
          <w:b w:val="1"/>
          <w:bCs w:val="1"/>
          <w:kern w:val="36"/>
        </w:rPr>
      </w:pPr>
    </w:p>
    <w:p>
      <w:pPr>
        <w:pStyle w:val="Normal.0"/>
        <w:jc w:val="center"/>
        <w:outlineLvl w:val="0"/>
        <w:rPr>
          <w:rFonts w:ascii="Arial" w:cs="Arial" w:hAnsi="Arial" w:eastAsia="Arial"/>
          <w:b w:val="1"/>
          <w:bCs w:val="1"/>
          <w:outline w:val="0"/>
          <w:color w:val="c00000"/>
          <w:kern w:val="36"/>
          <w:sz w:val="40"/>
          <w:szCs w:val="40"/>
          <w:u w:color="c00000"/>
          <w14:textFill>
            <w14:solidFill>
              <w14:srgbClr w14:val="C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c00000"/>
          <w:kern w:val="36"/>
          <w:sz w:val="40"/>
          <w:szCs w:val="40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Avviso esplorativo alienazione immobile</w:t>
      </w:r>
    </w:p>
    <w:p>
      <w:pPr>
        <w:pStyle w:val="Normal.0"/>
        <w:shd w:val="clear" w:color="auto" w:fill="ffffff"/>
        <w:rPr>
          <w:rFonts w:ascii="Arial" w:cs="Arial" w:hAnsi="Arial" w:eastAsia="Arial"/>
          <w:outline w:val="0"/>
          <w:color w:val="212529"/>
          <w:u w:color="212529"/>
          <w14:textFill>
            <w14:solidFill>
              <w14:srgbClr w14:val="212529"/>
            </w14:solidFill>
          </w14:textFill>
        </w:rPr>
      </w:pPr>
    </w:p>
    <w:p>
      <w:pPr>
        <w:pStyle w:val="Normal.0"/>
        <w:shd w:val="clear" w:color="auto" w:fill="ffffff"/>
        <w:rPr>
          <w:rFonts w:ascii="Arial" w:cs="Arial" w:hAnsi="Arial" w:eastAsia="Arial"/>
          <w:outline w:val="0"/>
          <w:color w:val="212529"/>
          <w:u w:color="212529"/>
          <w14:textFill>
            <w14:solidFill>
              <w14:srgbClr w14:val="212529"/>
            </w14:solidFill>
          </w14:textFill>
        </w:rPr>
      </w:pPr>
    </w:p>
    <w:p>
      <w:pPr>
        <w:pStyle w:val="Normal.0"/>
        <w:shd w:val="clear" w:color="auto" w:fill="ffffff"/>
        <w:rPr>
          <w:rFonts w:ascii="Arial" w:cs="Arial" w:hAnsi="Arial" w:eastAsia="Arial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Arcidiocesi di Agrigento, rende pubblico</w:t>
      </w:r>
    </w:p>
    <w:p>
      <w:pPr>
        <w:pStyle w:val="Normal.0"/>
        <w:shd w:val="clear" w:color="auto" w:fill="ffffff"/>
        <w:jc w:val="center"/>
        <w:rPr>
          <w:rFonts w:ascii="Arial" w:cs="Arial" w:hAnsi="Arial" w:eastAsia="Arial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avviso esplorativo di manifestazione di interesse</w:t>
      </w:r>
    </w:p>
    <w:p>
      <w:pPr>
        <w:pStyle w:val="Normal.0"/>
        <w:shd w:val="clear" w:color="auto" w:fill="ffffff"/>
        <w:jc w:val="center"/>
        <w:rPr>
          <w:rFonts w:ascii="Arial" w:cs="Arial" w:hAnsi="Arial" w:eastAsia="Arial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 offerta per la vendita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dell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’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immobile di sua propriet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à</w:t>
      </w:r>
    </w:p>
    <w:p>
      <w:pPr>
        <w:pStyle w:val="Normal.0"/>
        <w:shd w:val="clear" w:color="auto" w:fill="ffffff"/>
        <w:jc w:val="center"/>
        <w:rPr>
          <w:rFonts w:ascii="Arial" w:cs="Arial" w:hAnsi="Arial" w:eastAsia="Arial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denominato 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Chiesa di Santa Cecilia detta Monte dei Pegni</w:t>
      </w:r>
      <w:r>
        <w:rPr>
          <w:rFonts w:ascii="Arial" w:hAnsi="Arial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  <w:r>
        <w:rPr>
          <w:rFonts w:ascii="Arial" w:hAnsi="Arial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immobile, sito in Agrigento nella salita Monte dei Pegni, 9 con accesso principale da detta via, e censito al NCEU di Agrigento F. 142 part. 1.589 cat. A4 consistenza 3,5 vani, part. 4.774 cat. F3 e part. 1.590 sub 5, dichiarato di interesse culturale con D.D.S. n. 2.444 del 12 luglio 2021, 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è 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in vendita.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autorizzazione all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alienazione dalla Soprintendenza di Agrigento con nota n. 9.283/2 del 30 luglio 2021 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è 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condizionata all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opportuno intervento di restauro, consolidamento e risanamento al fine di garantire la buona conservazione del bene; le destinazioni d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uso future non dovranno essere suscettibili di arrecare pregiudizio alla conservazione dell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immobile e comunque dovranno risultare compatibili con il carattere storico e artistico dell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immobile medesimo e dovranno essere preventivamente comunicate alla Soprintendenza competente, sia consentito 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accesso al pubblico per motivi di studio. [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…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]</w:t>
      </w: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immobile rimane sottoposto a tutte le disposizioni di tutela previste dal Codice dei beni culturali e del paesaggio e che, conseguentemente, ai sensi dell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art. 21 del citato Codice, 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esecuzione di lavori ed opere di qualunque genere sono sottoposti a preventiva autorizzazione della competente Soprintendenza; ai sensi dell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art. 27 del precitato codice, nel bene, dandone immediata comunicazione alla competente Soprintendenza alla quale devono essere inviati i progetti definitivi per 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approvazione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”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.</w:t>
      </w:r>
    </w:p>
    <w:p>
      <w:pPr>
        <w:pStyle w:val="Normal.0"/>
        <w:shd w:val="clear" w:color="auto" w:fill="ffffff"/>
        <w:rPr>
          <w:rFonts w:ascii="Arial" w:cs="Arial" w:hAnsi="Arial" w:eastAsia="Arial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b w:val="1"/>
          <w:bCs w:val="1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I soggetti che intendono manifestare il proprio interesse all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acquisto dell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immobile devono, entro il </w:t>
      </w:r>
      <w:r>
        <w:rPr>
          <w:rFonts w:ascii="Arial" w:hAnsi="Arial"/>
          <w:b w:val="1"/>
          <w:bCs w:val="1"/>
          <w:outline w:val="0"/>
          <w:color w:val="212529"/>
          <w:sz w:val="22"/>
          <w:szCs w:val="22"/>
          <w:u w:val="single" w:color="212529"/>
          <w:rtl w:val="0"/>
          <w:lang w:val="it-IT"/>
          <w14:textFill>
            <w14:solidFill>
              <w14:srgbClr w14:val="212529"/>
            </w14:solidFill>
          </w14:textFill>
        </w:rPr>
        <w:t>30 Aprile 2025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, far pervenire la manifestazione di interesse su apposito modello da scaricare, da inviare </w:t>
      </w:r>
      <w:r>
        <w:rPr>
          <w:rFonts w:ascii="Arial" w:hAnsi="Arial"/>
          <w:b w:val="1"/>
          <w:bCs w:val="1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tramite pec all</w:t>
      </w:r>
      <w:r>
        <w:rPr>
          <w:rFonts w:ascii="Arial" w:hAnsi="Arial" w:hint="default"/>
          <w:b w:val="1"/>
          <w:bCs w:val="1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b w:val="1"/>
          <w:bCs w:val="1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indirizzo: diocesiag@pec.chiesacattolica.it o raccomandata A/R a:</w:t>
      </w:r>
    </w:p>
    <w:p>
      <w:pPr>
        <w:pStyle w:val="Normal.0"/>
        <w:shd w:val="clear" w:color="auto" w:fill="ffffff"/>
        <w:jc w:val="center"/>
        <w:rPr>
          <w:rFonts w:ascii="Arial" w:cs="Arial" w:hAnsi="Arial" w:eastAsia="Arial"/>
          <w:b w:val="1"/>
          <w:bCs w:val="1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Arcidiocesi di Agrigento</w:t>
      </w:r>
    </w:p>
    <w:p>
      <w:pPr>
        <w:pStyle w:val="Normal.0"/>
        <w:shd w:val="clear" w:color="auto" w:fill="ffffff"/>
        <w:jc w:val="center"/>
        <w:rPr>
          <w:rFonts w:ascii="Arial" w:cs="Arial" w:hAnsi="Arial" w:eastAsia="Arial"/>
          <w:b w:val="1"/>
          <w:bCs w:val="1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Curia Arcivescovile - Ufficio Amministrativo</w:t>
      </w:r>
    </w:p>
    <w:p>
      <w:pPr>
        <w:pStyle w:val="Normal.0"/>
        <w:shd w:val="clear" w:color="auto" w:fill="ffffff"/>
        <w:jc w:val="center"/>
        <w:rPr>
          <w:rFonts w:ascii="Arial" w:cs="Arial" w:hAnsi="Arial" w:eastAsia="Arial"/>
          <w:b w:val="1"/>
          <w:bCs w:val="1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P.zza don Minzoni, 19 </w:t>
      </w:r>
      <w:r>
        <w:rPr>
          <w:rFonts w:ascii="Arial" w:hAnsi="Arial" w:hint="default"/>
          <w:b w:val="1"/>
          <w:bCs w:val="1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– </w:t>
      </w:r>
      <w:r>
        <w:rPr>
          <w:rFonts w:ascii="Arial" w:hAnsi="Arial"/>
          <w:b w:val="1"/>
          <w:bCs w:val="1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92100 Agrigento</w:t>
      </w:r>
    </w:p>
    <w:p>
      <w:pPr>
        <w:pStyle w:val="Normal.0"/>
        <w:shd w:val="clear" w:color="auto" w:fill="ffffff"/>
        <w:jc w:val="center"/>
        <w:rPr>
          <w:rFonts w:ascii="Arial" w:cs="Arial" w:hAnsi="Arial" w:eastAsia="Arial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</w:p>
    <w:p>
      <w:pPr>
        <w:pStyle w:val="Normal.0"/>
        <w:shd w:val="clear" w:color="auto" w:fill="ffffff"/>
        <w:jc w:val="both"/>
        <w:rPr>
          <w:rFonts w:ascii="Arial" w:cs="Arial" w:hAnsi="Arial" w:eastAsia="Arial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cs="Arial" w:hAnsi="Arial" w:eastAsia="Arial"/>
          <w:b w:val="1"/>
          <w:bCs w:val="1"/>
          <w:outline w:val="0"/>
          <w:color w:val="212529"/>
          <w:u w:color="212529"/>
          <w14:textFill>
            <w14:solidFill>
              <w14:srgbClr w14:val="212529"/>
            </w14:solidFill>
          </w14:textFill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4020820</wp:posOffset>
            </wp:positionH>
            <wp:positionV relativeFrom="line">
              <wp:posOffset>62230</wp:posOffset>
            </wp:positionV>
            <wp:extent cx="2138045" cy="2776855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../../../../../Downloads/qr%20code%20monte%20dei%20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../../../../../Downloads/qr%20code%20monte%20dei%20p" descr="../../../../../Downloads/qr%20code%20monte%20dei%20p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27768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jc w:val="both"/>
        <w:rPr>
          <w:rFonts w:ascii="Arial" w:cs="Arial" w:hAnsi="Arial" w:eastAsia="Arial"/>
          <w:b w:val="1"/>
          <w:bCs w:val="1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Descrizione del bene</w:t>
      </w:r>
    </w:p>
    <w:p>
      <w:pPr>
        <w:pStyle w:val="Normal.0"/>
        <w:jc w:val="both"/>
        <w:rPr>
          <w:rFonts w:ascii="Arial" w:cs="Arial" w:hAnsi="Arial" w:eastAsia="Arial"/>
          <w:outline w:val="0"/>
          <w:color w:val="212529"/>
          <w:sz w:val="22"/>
          <w:szCs w:val="22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La Chiesa di Santa Cecilia, ubicata nella salita Monte dei Pegni e risalente al XV secolo, 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è 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accorpata e nascosta tra altri fabbricati sorti attorno in epoche successive.</w:t>
      </w:r>
    </w:p>
    <w:p>
      <w:pPr>
        <w:pStyle w:val="Normal.0"/>
        <w:jc w:val="both"/>
        <w:rPr>
          <w:rFonts w:ascii="Arial" w:cs="Arial" w:hAnsi="Arial" w:eastAsia="Arial"/>
          <w:outline w:val="0"/>
          <w:color w:val="212529"/>
          <w:u w:color="212529"/>
          <w14:textFill>
            <w14:solidFill>
              <w14:srgbClr w14:val="212529"/>
            </w14:solidFill>
          </w14:textFill>
        </w:rPr>
      </w:pP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Il bene 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è 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composto da un piccolo ingresso (n. 1 nella planimetria), in comune con altra propriet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à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, che permette di accedere ad una corte/giardino (2) che immette nella cappella laterale (4) e nel presbiterio (3). Segue la navata centrale (5), dove si apre 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altra cappella laterale (7) che permette l</w:t>
      </w:r>
      <w:r>
        <w:rPr>
          <w:rFonts w:ascii="Arial" w:hAnsi="Arial" w:hint="default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’</w:t>
      </w:r>
      <w:r>
        <w:rPr>
          <w:rFonts w:ascii="Arial" w:hAnsi="Arial"/>
          <w:outline w:val="0"/>
          <w:color w:val="212529"/>
          <w:sz w:val="22"/>
          <w:szCs w:val="22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accesso ai locali annessi (8) dai quali, con una scala, si accede alla cantoria posta sopra la navata centrale. Dal presbiterio si accede anche alla sacrestia (6).</w:t>
      </w:r>
      <w:r>
        <w:rPr>
          <w:rFonts w:ascii="Arial" w:hAnsi="Arial"/>
          <w:outline w:val="0"/>
          <w:color w:val="212529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 xml:space="preserve"> </w:t>
      </w:r>
    </w:p>
    <w:p>
      <w:pPr>
        <w:pStyle w:val="Normal.0"/>
        <w:jc w:val="both"/>
        <w:rPr>
          <w:rFonts w:ascii="Arial" w:cs="Arial" w:hAnsi="Arial" w:eastAsia="Arial"/>
          <w:outline w:val="0"/>
          <w:color w:val="212529"/>
          <w:u w:color="212529"/>
          <w14:textFill>
            <w14:solidFill>
              <w14:srgbClr w14:val="212529"/>
            </w14:solidFill>
          </w14:textFill>
        </w:rPr>
      </w:pPr>
    </w:p>
    <w:p>
      <w:pPr>
        <w:pStyle w:val="Normal.0"/>
        <w:jc w:val="both"/>
        <w:rPr>
          <w:rFonts w:ascii="Arial" w:cs="Arial" w:hAnsi="Arial" w:eastAsia="Arial"/>
          <w:outline w:val="0"/>
          <w:color w:val="212529"/>
          <w:u w:color="212529"/>
          <w14:textFill>
            <w14:solidFill>
              <w14:srgbClr w14:val="212529"/>
            </w14:solidFill>
          </w14:textFill>
        </w:rPr>
      </w:pPr>
    </w:p>
    <w:p>
      <w:pPr>
        <w:pStyle w:val="Normal.0"/>
        <w:jc w:val="both"/>
      </w:pPr>
      <w:r>
        <w:rPr>
          <w:rFonts w:ascii="Arial" w:hAnsi="Arial"/>
          <w:b w:val="1"/>
          <w:bCs w:val="1"/>
          <w:outline w:val="0"/>
          <w:color w:val="212529"/>
          <w:u w:color="212529"/>
          <w:rtl w:val="0"/>
          <w:lang w:val="it-IT"/>
          <w14:textFill>
            <w14:solidFill>
              <w14:srgbClr w14:val="212529"/>
            </w14:solidFill>
          </w14:textFill>
        </w:rPr>
        <w:t>Per le foto e la planimetria visita il sito della diocesi</w:t>
      </w:r>
    </w:p>
    <w:sectPr>
      <w:headerReference w:type="default" r:id="rId5"/>
      <w:footerReference w:type="default" r:id="rId6"/>
      <w:pgSz w:w="11900" w:h="16840" w:orient="portrait"/>
      <w:pgMar w:top="1828" w:right="1134" w:bottom="1440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612"/>
        <w:tab w:val="clear" w:pos="9638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866883</wp:posOffset>
          </wp:positionH>
          <wp:positionV relativeFrom="page">
            <wp:posOffset>-1501452</wp:posOffset>
          </wp:positionV>
          <wp:extent cx="4559300" cy="892810"/>
          <wp:effectExtent l="0" t="0" r="0" b="0"/>
          <wp:wrapNone/>
          <wp:docPr id="1073741825" name="officeArt object" descr="logo arcidiocesi per curia_page-00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arcidiocesi per curia_page-0001.jpg" descr="logo arcidiocesi per curia_page-0001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12763" t="39981" r="12724" b="39394"/>
                  <a:stretch>
                    <a:fillRect/>
                  </a:stretch>
                </pic:blipFill>
                <pic:spPr>
                  <a:xfrm>
                    <a:off x="0" y="0"/>
                    <a:ext cx="4559300" cy="8928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